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tbl>
      <w:tblPr>
        <w:tblW w:w="9519" w:type="dxa"/>
        <w:jc w:val="left"/>
        <w:tblInd w:w="324" w:type="dxa"/>
        <w:tblBorders>
          <w:top w:val="single" w:color="ffffff" w:sz="8" w:space="0" w:shadow="0" w:frame="0"/>
          <w:left w:val="single" w:color="ffffff" w:sz="8" w:space="0" w:shadow="0" w:frame="0"/>
          <w:bottom w:val="single" w:color="ffffff" w:sz="8" w:space="0" w:shadow="0" w:frame="0"/>
          <w:right w:val="single" w:color="ffffff" w:sz="8" w:space="0" w:shadow="0" w:frame="0"/>
          <w:insideH w:val="single" w:color="ffffff" w:sz="8" w:space="0" w:shadow="0" w:frame="0"/>
          <w:insideV w:val="single" w:color="ffffff" w:sz="8" w:space="0" w:shadow="0" w:frame="0"/>
        </w:tblBorders>
        <w:shd w:val="clear" w:color="auto" w:fill="cadfff"/>
        <w:tblLayout w:type="fixed"/>
      </w:tblPr>
      <w:tblGrid>
        <w:gridCol w:w="2598"/>
        <w:gridCol w:w="6921"/>
      </w:tblGrid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Table Style 2"/>
              <w:spacing w:line="360" w:lineRule="auto"/>
              <w:jc w:val="center"/>
            </w:pPr>
            <w:r>
              <w:rPr>
                <w:sz w:val="24"/>
                <w:szCs w:val="24"/>
                <w:shd w:val="nil" w:color="auto" w:fill="auto"/>
                <w:rtl w:val="0"/>
              </w:rPr>
              <w:t>Model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Table Style 2"/>
              <w:spacing w:line="360" w:lineRule="auto"/>
              <w:jc w:val="center"/>
            </w:pPr>
            <w:r>
              <w:rPr>
                <w:sz w:val="24"/>
                <w:szCs w:val="24"/>
                <w:shd w:val="nil" w:color="auto" w:fill="auto"/>
                <w:rtl w:val="0"/>
              </w:rPr>
              <w:t>Clarii mini</w:t>
            </w:r>
          </w:p>
        </w:tc>
      </w:tr>
      <w:tr>
        <w:tblPrEx>
          <w:shd w:val="clear" w:color="auto" w:fill="cadfff"/>
        </w:tblPrEx>
        <w:trPr>
          <w:trHeight w:val="469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/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191919"/>
            <w:tcMar>
              <w:top w:type="dxa" w:w="80"/>
              <w:left w:type="dxa" w:w="80"/>
              <w:bottom w:type="dxa" w:w="80"/>
              <w:right w:type="dxa" w:w="80"/>
            </w:tcMar>
            <w:vAlign w:val="top"/>
          </w:tcPr>
          <w:p>
            <w:pPr>
              <w:pStyle w:val="Body"/>
              <w:jc w:val="center"/>
            </w:pPr>
            <w:r>
              <w:rPr>
                <w:outline w:val="0"/>
                <w:color w:val="ffffff"/>
                <w:u w:color="ffffff"/>
                <w:shd w:val="nil" w:color="auto" w:fill="auto"/>
                <w:lang w:val="en-US"/>
                <w14:textFill>
                  <w14:solidFill>
                    <w14:srgbClr w14:val="FFFFFF"/>
                  </w14:solidFill>
                </w14:textFill>
              </w:rPr>
              <w:drawing xmlns:a="http://schemas.openxmlformats.org/drawingml/2006/main">
                <wp:inline distT="0" distB="0" distL="0" distR="0">
                  <wp:extent cx="2945130" cy="2945130"/>
                  <wp:effectExtent l="0" t="0" r="0" b="0"/>
                  <wp:docPr id="1073741825" name="officeArt object" descr="officeArt object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25" name="officeArt object" descr="officeArt object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5130" cy="2945130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shd w:val="clear" w:color="auto" w:fill="cadfff"/>
        </w:tblPrEx>
        <w:trPr>
          <w:trHeight w:val="1672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Concept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  <w:rPr>
                <w:shd w:val="nil" w:color="auto" w:fill="auto"/>
              </w:rPr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Clarii mini is a new form of wind instrument created by Robkoo. With its intuitive design, audio technology, and realistic sounds, Clarii makes performing music easier than ever.</w:t>
            </w:r>
          </w:p>
          <w:p>
            <w:pPr>
              <w:pStyle w:val="Body"/>
              <w:bidi w:val="0"/>
              <w:spacing w:line="360" w:lineRule="auto"/>
              <w:ind w:left="0" w:right="0" w:firstLine="0"/>
              <w:jc w:val="left"/>
              <w:rPr>
                <w:rtl w:val="0"/>
              </w:rPr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Breathe. Shake. Play. Clarii mini is yet another musical instrument from the future after the launch of the original Wind Synthesizer R1.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Power supply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de-DE"/>
                <w14:textFill>
                  <w14:solidFill>
                    <w14:srgbClr w14:val="333333"/>
                  </w14:solidFill>
                </w14:textFill>
              </w:rPr>
              <w:t>USB (Type-C) 5V</w:t>
            </w:r>
            <w:r>
              <w:rPr>
                <w:rFonts w:ascii="Arial Unicode MS" w:cs="Arial Unicode MS" w:hAnsi="Arial Unicode MS" w:eastAsia="Arial Unicode MS" w:hint="default"/>
                <w:b w:val="0"/>
                <w:bCs w:val="0"/>
                <w:i w:val="0"/>
                <w:iCs w:val="0"/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⎓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1A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Battery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Li-ion, 1200mAh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Current draw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1A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it-IT"/>
                <w14:textFill>
                  <w14:solidFill>
                    <w14:srgbClr w14:val="333333"/>
                  </w14:solidFill>
                </w14:textFill>
              </w:rPr>
              <w:t>Sensor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Breath sensor, motion sensor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MIDI interface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USB MIDI, BLE MIDI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Audio ports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Stereo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1/8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’’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headphone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jack</w:t>
            </w:r>
          </w:p>
        </w:tc>
      </w:tr>
      <w:tr>
        <w:tblPrEx>
          <w:shd w:val="clear" w:color="auto" w:fill="cadfff"/>
        </w:tblPrEx>
        <w:trPr>
          <w:trHeight w:val="770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it-IT"/>
                <w14:textFill>
                  <w14:solidFill>
                    <w14:srgbClr w14:val="333333"/>
                  </w14:solidFill>
                </w14:textFill>
              </w:rPr>
              <w:t>Accessories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Type-C cable, user</w:t>
            </w:r>
            <w:r>
              <w:rPr>
                <w:rFonts w:ascii="Arial Unicode MS" w:hAnsi="Arial Unicode MS" w:hint="default"/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1"/>
                <w14:textFill>
                  <w14:solidFill>
                    <w14:srgbClr w14:val="333333"/>
                  </w14:solidFill>
                </w14:textFill>
              </w:rPr>
              <w:t>’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s manual, Quickstart Guide, mouthpiece cap, dust bag</w:t>
            </w:r>
          </w:p>
        </w:tc>
      </w:tr>
      <w:tr>
        <w:tblPrEx>
          <w:shd w:val="clear" w:color="auto" w:fill="cadfff"/>
        </w:tblPrEx>
        <w:trPr>
          <w:trHeight w:val="283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zh-TW" w:eastAsia="zh-TW"/>
                <w14:textFill>
                  <w14:solidFill>
                    <w14:srgbClr w14:val="333333"/>
                  </w14:solidFill>
                </w14:textFill>
              </w:rPr>
              <w:t>Size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45.5cm (length)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×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4cm (width)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 xml:space="preserve">× </w:t>
            </w: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5cm (height)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Weight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 A"/>
              <w:spacing w:line="360" w:lineRule="auto"/>
            </w:pPr>
            <w:r>
              <w:rPr>
                <w:outline w:val="0"/>
                <w:color w:val="333333"/>
                <w:sz w:val="24"/>
                <w:szCs w:val="24"/>
                <w:u w:color="333333"/>
                <w:shd w:val="nil" w:color="auto" w:fill="auto"/>
                <w:rtl w:val="0"/>
                <w:lang w:val="en-US"/>
                <w14:textFill>
                  <w14:solidFill>
                    <w14:srgbClr w14:val="333333"/>
                  </w14:solidFill>
                </w14:textFill>
              </w:rPr>
              <w:t>225g (with mouthpiece cap)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Lead Time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f5f5f5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5 weeks</w:t>
            </w:r>
          </w:p>
        </w:tc>
      </w:tr>
      <w:tr>
        <w:tblPrEx>
          <w:shd w:val="clear" w:color="auto" w:fill="cadfff"/>
        </w:tblPrEx>
        <w:trPr>
          <w:trHeight w:val="305" w:hRule="atLeast"/>
        </w:trPr>
        <w:tc>
          <w:tcPr>
            <w:tcW w:type="dxa" w:w="2598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MOQ</w:t>
            </w:r>
          </w:p>
        </w:tc>
        <w:tc>
          <w:tcPr>
            <w:tcW w:type="dxa" w:w="6921"/>
            <w:tcBorders>
              <w:top w:val="single" w:color="000000" w:sz="2" w:space="0" w:shadow="0" w:frame="0"/>
              <w:left w:val="single" w:color="000000" w:sz="2" w:space="0" w:shadow="0" w:frame="0"/>
              <w:bottom w:val="single" w:color="000000" w:sz="2" w:space="0" w:shadow="0" w:frame="0"/>
              <w:right w:val="single" w:color="000000" w:sz="2" w:space="0" w:shadow="0" w:frame="0"/>
            </w:tcBorders>
            <w:shd w:val="clear" w:color="auto" w:fill="auto"/>
            <w:tcMar>
              <w:top w:type="dxa" w:w="80"/>
              <w:left w:type="dxa" w:w="80"/>
              <w:bottom w:type="dxa" w:w="80"/>
              <w:right w:type="dxa" w:w="80"/>
            </w:tcMar>
            <w:vAlign w:val="center"/>
          </w:tcPr>
          <w:p>
            <w:pPr>
              <w:pStyle w:val="Body"/>
              <w:spacing w:line="360" w:lineRule="auto"/>
            </w:pPr>
            <w:r>
              <w:rPr>
                <w:rFonts w:ascii="Helvetica Neue" w:hAnsi="Helvetica Neue"/>
                <w:sz w:val="22"/>
                <w:szCs w:val="22"/>
                <w:shd w:val="nil" w:color="auto" w:fill="auto"/>
                <w:rtl w:val="0"/>
                <w:lang w:val="en-US"/>
                <w14:textOutline w14:w="12700" w14:cap="flat">
                  <w14:noFill/>
                  <w14:miter w14:lim="400000"/>
                </w14:textOutline>
              </w:rPr>
              <w:t>1000 units</w:t>
            </w:r>
          </w:p>
        </w:tc>
      </w:tr>
    </w:tbl>
    <w:p>
      <w:pPr>
        <w:pStyle w:val="Body"/>
        <w:widowControl w:val="0"/>
        <w:ind w:left="216" w:hanging="216"/>
      </w:pPr>
      <w:r/>
    </w:p>
    <w:sectPr>
      <w:headerReference w:type="default" r:id="rId5"/>
      <w:footerReference w:type="default" r:id="rId6"/>
      <w:pgSz w:w="11900" w:h="16840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PingFang SC Regular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Table Style 2">
    <w:name w:val="Table Style 2"/>
    <w:next w:val="Table Style 2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  <w:style w:type="paragraph" w:styleId="Body A">
    <w:name w:val="Body A"/>
    <w:next w:val="Body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2"/>
      <w:szCs w:val="22"/>
      <w:u w:val="none" w:color="000000"/>
      <w:shd w:val="nil" w:color="auto" w:fill="auto"/>
      <w:vertAlign w:val="baseline"/>
      <w:lang w:val="en-US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PingFang SC Regular"/>
            <a:ea typeface="PingFang SC Regular"/>
            <a:cs typeface="PingFang SC Regular"/>
            <a:sym typeface="PingFang SC Regular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